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center" w:pos="4536"/>
          <w:tab w:val="right" w:pos="9072"/>
        </w:tabs>
        <w:ind w:right="360"/>
        <w:contextualSpacing w:val="0"/>
        <w:jc w:val="center"/>
        <w:rPr>
          <w:rFonts w:ascii="Calibri" w:cs="Calibri" w:eastAsia="Calibri" w:hAnsi="Calibri"/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pBdr/>
        <w:tabs>
          <w:tab w:val="center" w:pos="4536"/>
          <w:tab w:val="right" w:pos="9072"/>
        </w:tabs>
        <w:ind w:right="360"/>
        <w:contextualSpacing w:val="0"/>
        <w:jc w:val="center"/>
        <w:rPr>
          <w:rFonts w:ascii="Calibri" w:cs="Calibri" w:eastAsia="Calibri" w:hAnsi="Calibri"/>
          <w:i w:val="1"/>
          <w:sz w:val="22"/>
          <w:szCs w:val="22"/>
          <w:u w:val="none"/>
        </w:rPr>
      </w:pPr>
      <w:r w:rsidDel="00000000" w:rsidR="00000000" w:rsidRPr="00000000">
        <w:drawing>
          <wp:inline distB="0" distT="0" distL="0" distR="0">
            <wp:extent cx="561975" cy="523875"/>
            <wp:effectExtent b="0" l="0" r="0" t="0"/>
            <wp:docPr descr="G:\Grb Doboja.png" id="3" name="image2.png"/>
            <a:graphic>
              <a:graphicData uri="http://schemas.openxmlformats.org/drawingml/2006/picture">
                <pic:pic>
                  <pic:nvPicPr>
                    <pic:cNvPr descr="G:\Grb Doboja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536"/>
          <w:tab w:val="right" w:pos="9072"/>
        </w:tabs>
        <w:ind w:right="360"/>
        <w:contextualSpacing w:val="0"/>
        <w:jc w:val="center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rtl w:val="0"/>
        </w:rPr>
        <w:t xml:space="preserve"> REPUBLIKA SRPSKA</w:t>
      </w:r>
    </w:p>
    <w:p w:rsidR="00000000" w:rsidDel="00000000" w:rsidP="00000000" w:rsidRDefault="00000000" w:rsidRPr="00000000">
      <w:pPr>
        <w:pBdr/>
        <w:tabs>
          <w:tab w:val="center" w:pos="4536"/>
          <w:tab w:val="right" w:pos="9072"/>
        </w:tabs>
        <w:ind w:right="360"/>
        <w:contextualSpacing w:val="0"/>
        <w:jc w:val="center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rtl w:val="0"/>
        </w:rPr>
        <w:t xml:space="preserve">GRAD DOBOJ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line="276" w:lineRule="auto"/>
        <w:contextualSpacing w:val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u w:val="no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rtl w:val="0"/>
        </w:rPr>
        <w:t xml:space="preserve">GRADONAČELNIK</w:t>
      </w:r>
    </w:p>
    <w:p w:rsidR="00000000" w:rsidDel="00000000" w:rsidP="00000000" w:rsidRDefault="00000000" w:rsidRPr="00000000">
      <w:pPr>
        <w:pBdr/>
        <w:spacing w:line="276" w:lineRule="auto"/>
        <w:ind w:left="180" w:firstLine="0"/>
        <w:contextualSpacing w:val="0"/>
        <w:jc w:val="center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u w:val="none"/>
          <w:rtl w:val="0"/>
        </w:rPr>
        <w:t xml:space="preserve">Hilandarska br.1, 74000 Doboj, </w:t>
      </w:r>
      <w:hyperlink r:id="rId7">
        <w:r w:rsidDel="00000000" w:rsidR="00000000" w:rsidRPr="00000000">
          <w:rPr>
            <w:color w:val="0000ff"/>
            <w:sz w:val="16"/>
            <w:szCs w:val="16"/>
            <w:rtl w:val="0"/>
          </w:rPr>
          <w:t xml:space="preserve">tel/fax:053/242-002</w:t>
        </w:r>
      </w:hyperlink>
      <w:r w:rsidDel="00000000" w:rsidR="00000000" w:rsidRPr="00000000">
        <w:rPr>
          <w:sz w:val="16"/>
          <w:szCs w:val="16"/>
          <w:u w:val="none"/>
          <w:rtl w:val="0"/>
        </w:rPr>
        <w:t xml:space="preserve">, e-mail: javnenabavke@doboj.gov.ba</w:t>
      </w:r>
    </w:p>
    <w:p w:rsidR="00000000" w:rsidDel="00000000" w:rsidP="00000000" w:rsidRDefault="00000000" w:rsidRPr="00000000">
      <w:pPr>
        <w:pBdr/>
        <w:spacing w:line="276" w:lineRule="auto"/>
        <w:ind w:left="180" w:firstLine="0"/>
        <w:contextualSpacing w:val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Broj: 02-404-1-243 /17.</w:t>
      </w:r>
    </w:p>
    <w:p w:rsidR="00000000" w:rsidDel="00000000" w:rsidP="00000000" w:rsidRDefault="00000000" w:rsidRPr="00000000">
      <w:pPr>
        <w:pBdr/>
        <w:contextualSpacing w:val="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Datum:  26.6.  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320"/>
          <w:tab w:val="right" w:pos="8640"/>
        </w:tabs>
        <w:spacing w:after="120" w:before="12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u w:val="none"/>
          <w:rtl w:val="0"/>
        </w:rPr>
        <w:t xml:space="preserve">Na osnovu člana 64. stav 1. tačka b), člana 70. st. 1, 3. i 6. Zakona o javnim nabavkama („Sl. glasnik BiH“, broj 39/14), na preporuku Komisije za javne nabavke broj: 27/17. od 19.6.2017. godine, u postupku javne nabavke Radovi na uređenju do građevinske parcele označene kao k.č.br.5383 k.o. Doboj,  Lot 1: radovi na vodovodu i kanalizaciji, Lot 2: elektro radovi  i Lot 3: radovi na vrelovodu , gradonačelnik je donio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ODLUKU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izboru najpovoljnijeg ponuđača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Član 1.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u w:val="none"/>
          <w:rtl w:val="0"/>
        </w:rPr>
        <w:t xml:space="preserve">Prihvata se preporuka Komisije za javne nabavke, broj: 27/17 od 19 .6.2017. godine i ugovor za javnu nabavku Radovi na uređenju do građevinske parcele označene kao k.č.br. 5383 k.o. Doboj , Lot 1: radovi na vodovodu i kanalizaciji, dodjeljuje se ponuđaču „Energotehnika “d.o.o. Doboj , za ponuđenu cijenu od  13.171,32 KM  bez PDV-a ,sa uračunatim popustom u iznosu od 15%, Lot: 2 – elektro radovi  dodjeljuje se ponuđaču „Stator - Gs“ d.o.o. Bukovica Velika za ponuđenu cijenu u iznosu od  19.121,33 KM bez PDV-a, sa uračunatim popustom u iznosu od 5%,   Lot 3: radovi na vrelovodu dodjeljuje se ponuđaču „Energotehnika“ d.o.o. Doboj za ponuđenu cijenu u iznosu od 66.659,40 KM bez PDV-a, kao najbolje ocijenjenim ponuđačima.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Član 2.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Prijedlog ugovora o nabavci dostavit će se na potpis izabranim ponuđačima  po proteku roka od  15 dana, računajući od dana od kada su svi ponuđači obaviješteni o izboru najpovoljnije ponude.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Izabrani ponuđač je dužan dostaviti dokumentaciju traženu tenderskom dokumentacijom u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roku od 5 (pet) dana od dana prijema odluke o izboru najpovoljnijeg ponuđača.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Član 3.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Ova odluka objavit će se na web-stranici www.graddoboj.org istovremeno s upućivanjem ponuđačima koji su učestvovali u postupku javne nabavke, u skladu sa članom 70. stav 6. Zakona o javnim nabavkama.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Član 4.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</w:tabs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Ova odluka stupa na snagu danom donošenja, i dostavlja se svim ponuđačima koji su učestvovali u postupku javne nabavke, u skladu sa članom 71. stav 2. Zakona o javnim nabavkama.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Obrazloženje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Postupak javne nabavke pokrenut je Odlukom o pokretanju postupka javne nabavke broj: 02/404-1-213/17. od 24.5.2017.godine.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Javna nabavka je provedena  putem otvorenog postupka.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Procijenjena vrijednost javne nabavke bez PDV-a je za Lot 1: 14.478,00 KM, za Lot 2: 25.236,00KM za Lot 3: 72.427,00 KM.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Obavještenje o nabavci broj: 103-1-3-30-3-56/17 poslano je na objavljivanje dana 24.5.2017. godine, a objavljeno je na Portalu javnih nabavki dana 24.5.2017. godine,sažetak obavještenja objavljen u Službenom glasniku BiH.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Tendersku dokumentaciju   sa Portala javnih nabavki preuzeli su sljedeći ponuđači: „Infostrim“d.o.o, „BBS Europe“,“Ekapija“, d.o.o. „Josipović“, d.o.o. „Stator – GS“Bukovica Velika,“Majnani“d.o.o.,“Boro term“ d.o.o. Doboj,Udruženje za borbu protiv korupcije „Transparency International“ u Bosni i Hercegovini,“Građpromet“,“Sector – security“d.o.o. BanjaLuka,“Geokop“d.o.o. Derventa i „Energotehnika“d.o.o. Doboj.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Komisija za javne nabavke imenovana je Rješenjem  broj: 06/404-1-37/15 od 30.1.2015. godine.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Komisija za javne nabavke dostavila je  zapisnik  o ocjeni ponuda broj: 27/17. od 19.6.2017.  godine i Preporuku o izboru najpovoljnijeg ponuđača broj: 27/17 od 19.6.2017. godine, u postupku javne  nabavke:  Radovi na uređenju do građevinske parcele označene kao k.č.br.5383 k.o. Doboj  Lot 1: radovi na vodovodu i kanalizaciji, Lot 2: elektro radovi i  Lot 3: radovi na vrelovodu.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 postupku po izvještaju o radu je utvrđeno da je Komisija za javne nabavke blagovremeno i pravilno izvršila otvaranje ponuda i ocjenu prispjelih ponuda, o čemu je sačinila odgovarajuće zapisnike, u kojima je utvrđeno sljedeće:- da je ukupan broj pristiglih ponuda za lot 1 - 1  ponuda, za lot 2 -dvije ponude , za Lot 3 dvije ponude, .-da je  blagovremeno zaprimljena 1 ponuda za lot 1,dvije ponude za lot 2 , dvije ponude za lot 3 - da nema neblagovremeno zaprimljenih ponuda.- da su ponude ponuđača,:„Boro term“d.o.o. Doboj i  „Stator – GS“ d.o.o. Bukovica Velika ,  prihvatljive. Ponuda ponuđača „Energotehnika“d.o.o. Doboj prihvatljiva je za Lot 1 i Lot 3 a za lot 2 – elektro radovi  nije prihvatljiva iz razloga što nisu dostavljene potvrde o uspješno realizovanim ugovorima za predmetne radove a što je traženo tačkom 3.5. tenderske dokumentacije(tehnička i profesionalna   sposobnost – član 51 ZJN).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Prilikom računske kontrole ponuda utvrđeno je da u ponudi ponuđača„Energotehnika“d.o.o. Doboj, postoji računska greška Lot 1: radovi na vodovodu i kanalizaciji, gdje ukupna cijena ponude sa popustom i uračunatim PDV-om umjesto 15.411,44 KM treba da iznosi 15.410,44 KM. Iz navedenog razloga Komisija za javne nabavke uputila je dopis broj 27/17 od 16.6. 2017. kojim je zatražena saglasnost za ispravku računske greške.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Dopisom broj DO83/16 od 19.6.2017. ponuđač „Energotehnika“d.o.o. Doboj dao je svoju saglasnost  za ispravku računske greške.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 postupku ocjene provedenog postupka, gradonačelnik nije našao razloge, nepravilnosti niti propuste u radu, koji bi eventualno bili osnov za neprihvatanje preporuke Komisije za javne nabavke.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Naime, u postupku je ocijenjeno da je Komisija u svemu pravilno postupila te da je izbor najpovoljnijeg ponuđača izvršen u skladu sa Zakonom o javnim nabavkama, podzakonskim aktima, internim aktima i tenderskim dokumentom. Uvidom u priloženu dokumentaciju, nesporno je da je izabrani ponuđač najbolje ocijenjen zbog: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Najniže cijene,  kako slijedi: LOT 1 radovi na vodovodu i kanalizaciji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"/>
        <w:gridCol w:w="3842"/>
        <w:gridCol w:w="41"/>
        <w:gridCol w:w="3299"/>
        <w:gridCol w:w="41"/>
        <w:tblGridChange w:id="0">
          <w:tblGrid>
            <w:gridCol w:w="416"/>
            <w:gridCol w:w="3842"/>
            <w:gridCol w:w="41"/>
            <w:gridCol w:w="3299"/>
            <w:gridCol w:w="41"/>
          </w:tblGrid>
        </w:tblGridChange>
      </w:tblGrid>
      <w:tr>
        <w:trPr>
          <w:trHeight w:val="80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Naziv / ime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ponuđača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u w:val="none"/>
                <w:rtl w:val="0"/>
              </w:rPr>
              <w:t xml:space="preserve">Ukupna cijena ponude (sa PDV-om)</w:t>
            </w:r>
          </w:p>
        </w:tc>
      </w:tr>
      <w:tr>
        <w:trPr>
          <w:trHeight w:val="5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1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„Energotehnika “d.o.o. Doboj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   15.410,44   KM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Izabrani ponuđač „Energotehnika“d.o.o. Doboj izabran je primjenjujući kriterij najniže cijene ,koja je ponuđena u iznosu od 15.410,44 KM sa popustom i uračunatim PDV-om.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Najniže cijene,  kako slijedi: LOT 2 – elektro radovi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"/>
        <w:gridCol w:w="3842"/>
        <w:gridCol w:w="41"/>
        <w:gridCol w:w="3299"/>
        <w:gridCol w:w="41"/>
        <w:tblGridChange w:id="0">
          <w:tblGrid>
            <w:gridCol w:w="416"/>
            <w:gridCol w:w="3842"/>
            <w:gridCol w:w="41"/>
            <w:gridCol w:w="3299"/>
            <w:gridCol w:w="41"/>
          </w:tblGrid>
        </w:tblGridChange>
      </w:tblGrid>
      <w:tr>
        <w:trPr>
          <w:trHeight w:val="80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Naziv / ime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ponuđača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u w:val="none"/>
                <w:rtl w:val="0"/>
              </w:rPr>
              <w:t xml:space="preserve">Ukupna cijena ponude (sa PDV-om)</w:t>
            </w:r>
          </w:p>
        </w:tc>
      </w:tr>
      <w:tr>
        <w:trPr>
          <w:trHeight w:val="5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1.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„Stator - Gs“d.o.o. Bukovica Velika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22.371,95 KM</w:t>
            </w:r>
          </w:p>
        </w:tc>
      </w:tr>
      <w:tr>
        <w:trPr>
          <w:trHeight w:val="5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2.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„Energotehnika“d.o.o. Doboj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23.809,50 KM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Izabrani ponuđač „Stator - Gs“d.o.o. Bukovica Velika izabran je primjenjujući kriterij najniže cijene ,koja je ponuđena u iznosu od 22.371,95  KM sa popustom i uračunatim PDV-om.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Najniže cijene,  kako slijedi: LOT 3 radovi na vrelovodu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"/>
        <w:gridCol w:w="3842"/>
        <w:gridCol w:w="41"/>
        <w:gridCol w:w="3299"/>
        <w:gridCol w:w="41"/>
        <w:tblGridChange w:id="0">
          <w:tblGrid>
            <w:gridCol w:w="416"/>
            <w:gridCol w:w="3842"/>
            <w:gridCol w:w="41"/>
            <w:gridCol w:w="3299"/>
            <w:gridCol w:w="41"/>
          </w:tblGrid>
        </w:tblGridChange>
      </w:tblGrid>
      <w:tr>
        <w:trPr>
          <w:trHeight w:val="80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Naziv / ime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ponuđača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u w:val="none"/>
                <w:rtl w:val="0"/>
              </w:rPr>
              <w:t xml:space="preserve">Ukupna cijena ponude (sa PDV-om)</w:t>
            </w:r>
          </w:p>
        </w:tc>
      </w:tr>
      <w:tr>
        <w:trPr>
          <w:trHeight w:val="5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1.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„Energotehnika d.o.o. Doboj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77.991,50 KM</w:t>
            </w:r>
          </w:p>
        </w:tc>
      </w:tr>
      <w:tr>
        <w:trPr>
          <w:trHeight w:val="5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2.</w:t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„Boro term“d.o.o. Doboj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none"/>
                <w:rtl w:val="0"/>
              </w:rPr>
              <w:t xml:space="preserve"> 82.964,89 KM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Izabrani ponuđač „Energotehnika“d.o.o. Doboj izabran je primjenjujući kriterij najniže cijene ,koja je ponuđena u iznosu od 77.991,50 KM sa uračunatim PDV-om.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Iz navedenih razloga, primjenom člana 64. stav 1. tačka b. Zakona o javnim nabavkama, odlučeno je kao u članu 1. ove odluke.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jc w:val="both"/>
        <w:rPr>
          <w:rFonts w:ascii="Garamond" w:cs="Garamond" w:eastAsia="Garamond" w:hAnsi="Garamond"/>
          <w:b w:val="1"/>
          <w:u w:val="none"/>
        </w:rPr>
      </w:pPr>
      <w:r w:rsidDel="00000000" w:rsidR="00000000" w:rsidRPr="00000000">
        <w:rPr>
          <w:rFonts w:ascii="Garamond" w:cs="Garamond" w:eastAsia="Garamond" w:hAnsi="Garamond"/>
          <w:b w:val="1"/>
          <w:u w:val="none"/>
          <w:rtl w:val="0"/>
        </w:rPr>
        <w:t xml:space="preserve">POUKA O PRAVNOM LIJEKU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Protiv ove odluke može se izjaviti žalba Kancelariji za razmatranje žalbi, putem ugovornog organa – Grad Doboj, najkasnije u roku od 10 (deset) dana od dana prijema ove odluke.Žalba se dostavlja  u tri primjerka u pisanoj formi.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                      Gradonačelnik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tabs>
          <w:tab w:val="left" w:pos="6045"/>
        </w:tabs>
        <w:contextualSpacing w:val="0"/>
        <w:jc w:val="both"/>
        <w:rPr>
          <w:rFonts w:ascii="Garamond" w:cs="Garamond" w:eastAsia="Garamond" w:hAnsi="Garamond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u w:val="none"/>
          <w:rtl w:val="0"/>
        </w:rPr>
        <w:t xml:space="preserve">Dostaviti:                                                                                     Obren Petrović,s.r.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1.“Stator – GS“ d.o.o. Doboj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2.“Energotehnika“d.o.o. Doboj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3.“Boro term“d.o.o. Doboj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63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aramond"/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432" w:right="0" w:hanging="432"/>
      <w:jc w:val="center"/>
    </w:pPr>
    <w:rPr>
      <w:rFonts w:ascii="Garamond" w:cs="Garamond" w:eastAsia="Garamond" w:hAnsi="Garamond"/>
      <w:b w:val="1"/>
      <w:i w:val="0"/>
      <w:smallCaps w:val="0"/>
      <w:strike w:val="0"/>
      <w:color w:val="595959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color="000000" w:space="1" w:sz="4" w:val="single"/>
      </w:pBdr>
      <w:spacing w:after="0" w:before="0" w:line="240" w:lineRule="auto"/>
      <w:ind w:left="578" w:right="0" w:hanging="578"/>
      <w:jc w:val="center"/>
    </w:pPr>
    <w:rPr>
      <w:rFonts w:ascii="Cambria" w:cs="Cambria" w:eastAsia="Cambria" w:hAnsi="Cambria"/>
      <w:b w:val="1"/>
      <w:i w:val="0"/>
      <w:smallCaps w:val="1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D6440B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0"/>
      <w:u w:val="single"/>
      <w:lang w:eastAsia="zh-CN" w:val="bs-Latn-BA"/>
    </w:rPr>
  </w:style>
  <w:style w:type="paragraph" w:styleId="Heading1">
    <w:name w:val="heading 1"/>
    <w:basedOn w:val="Normal"/>
    <w:next w:val="Normal"/>
    <w:link w:val="Heading1Char"/>
    <w:qFormat w:val="1"/>
    <w:rsid w:val="00D6440B"/>
    <w:pPr>
      <w:keepNext w:val="1"/>
      <w:numPr>
        <w:numId w:val="1"/>
      </w:numPr>
      <w:jc w:val="center"/>
      <w:outlineLvl w:val="0"/>
    </w:pPr>
    <w:rPr>
      <w:rFonts w:ascii="Garamond" w:hAnsi="Garamond"/>
      <w:b w:val="1"/>
      <w:color w:val="595959" w:themeColor="text1" w:themeTint="0000A6"/>
      <w:sz w:val="36"/>
      <w:u w:val="none"/>
    </w:rPr>
  </w:style>
  <w:style w:type="paragraph" w:styleId="Heading2">
    <w:name w:val="heading 2"/>
    <w:basedOn w:val="Normal"/>
    <w:next w:val="Normal"/>
    <w:link w:val="Heading2Char"/>
    <w:qFormat w:val="1"/>
    <w:rsid w:val="00D6440B"/>
    <w:pPr>
      <w:keepNext w:val="1"/>
      <w:numPr>
        <w:ilvl w:val="1"/>
        <w:numId w:val="1"/>
      </w:numPr>
      <w:pBdr>
        <w:top w:color="auto" w:space="1" w:sz="4" w:val="single"/>
      </w:pBdr>
      <w:ind w:left="578" w:hanging="578"/>
      <w:jc w:val="center"/>
      <w:outlineLvl w:val="1"/>
    </w:pPr>
    <w:rPr>
      <w:rFonts w:ascii="Cambria" w:cs="Cambria" w:hAnsi="Cambria"/>
      <w:b w:val="1"/>
      <w:bCs w:val="1"/>
      <w:iCs w:val="1"/>
      <w:caps w:val="1"/>
      <w:sz w:val="32"/>
      <w:szCs w:val="28"/>
      <w:u w:val="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6440B"/>
    <w:rPr>
      <w:rFonts w:ascii="Garamond" w:cs="Times New Roman" w:eastAsia="Times New Roman" w:hAnsi="Garamond"/>
      <w:b w:val="1"/>
      <w:color w:val="595959" w:themeColor="text1" w:themeTint="0000A6"/>
      <w:sz w:val="36"/>
      <w:szCs w:val="20"/>
      <w:lang w:eastAsia="zh-CN" w:val="bs-Latn-BA"/>
    </w:rPr>
  </w:style>
  <w:style w:type="character" w:styleId="Heading2Char" w:customStyle="1">
    <w:name w:val="Heading 2 Char"/>
    <w:basedOn w:val="DefaultParagraphFont"/>
    <w:link w:val="Heading2"/>
    <w:rsid w:val="00D6440B"/>
    <w:rPr>
      <w:rFonts w:ascii="Cambria" w:cs="Cambria" w:eastAsia="Times New Roman" w:hAnsi="Cambria"/>
      <w:b w:val="1"/>
      <w:bCs w:val="1"/>
      <w:iCs w:val="1"/>
      <w:caps w:val="1"/>
      <w:sz w:val="32"/>
      <w:szCs w:val="28"/>
      <w:lang w:eastAsia="zh-CN" w:val="bs-Latn-BA"/>
    </w:rPr>
  </w:style>
  <w:style w:type="paragraph" w:styleId="BodyTextIndent">
    <w:name w:val="Body Text Indent"/>
    <w:basedOn w:val="Normal"/>
    <w:link w:val="BodyTextIndentChar"/>
    <w:rsid w:val="00D6440B"/>
    <w:pPr>
      <w:ind w:firstLine="709"/>
      <w:jc w:val="both"/>
    </w:pPr>
    <w:rPr>
      <w:u w:val="none"/>
    </w:rPr>
  </w:style>
  <w:style w:type="character" w:styleId="BodyTextIndentChar" w:customStyle="1">
    <w:name w:val="Body Text Indent Char"/>
    <w:basedOn w:val="DefaultParagraphFont"/>
    <w:link w:val="BodyTextIndent"/>
    <w:rsid w:val="00D6440B"/>
    <w:rPr>
      <w:rFonts w:ascii="Times New Roman" w:cs="Times New Roman" w:eastAsia="Times New Roman" w:hAnsi="Times New Roman"/>
      <w:sz w:val="24"/>
      <w:szCs w:val="20"/>
      <w:lang w:eastAsia="zh-CN" w:val="bs-Latn-BA"/>
    </w:rPr>
  </w:style>
  <w:style w:type="paragraph" w:styleId="Header">
    <w:name w:val="header"/>
    <w:basedOn w:val="Normal"/>
    <w:link w:val="HeaderChar"/>
    <w:rsid w:val="00D6440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6440B"/>
    <w:rPr>
      <w:rFonts w:ascii="Times New Roman" w:cs="Times New Roman" w:eastAsia="Times New Roman" w:hAnsi="Times New Roman"/>
      <w:sz w:val="24"/>
      <w:szCs w:val="20"/>
      <w:u w:val="single"/>
      <w:lang w:eastAsia="zh-CN" w:val="bs-Latn-B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34F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34F8"/>
    <w:rPr>
      <w:rFonts w:ascii="Segoe UI" w:cs="Segoe UI" w:eastAsia="Times New Roman" w:hAnsi="Segoe UI"/>
      <w:sz w:val="18"/>
      <w:szCs w:val="18"/>
      <w:u w:val="single"/>
      <w:lang w:eastAsia="zh-CN" w:val="bs-Latn-BA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